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37CA" w14:textId="77777777" w:rsidR="00457D9F" w:rsidRPr="00D2790E" w:rsidRDefault="00457D9F" w:rsidP="00457D9F">
      <w:pPr>
        <w:spacing w:line="240" w:lineRule="auto"/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 xml:space="preserve">Dear </w:t>
      </w:r>
      <w:r w:rsidRPr="00D2790E">
        <w:rPr>
          <w:rFonts w:asciiTheme="minorHAnsi" w:hAnsiTheme="minorHAnsi" w:cs="Arial"/>
          <w:b/>
        </w:rPr>
        <w:t>&lt;Insert Name&gt;,</w:t>
      </w:r>
    </w:p>
    <w:p w14:paraId="414636C5" w14:textId="1A2077D1" w:rsidR="00457D9F" w:rsidRPr="00D2790E" w:rsidRDefault="00457D9F" w:rsidP="00457D9F">
      <w:pPr>
        <w:pStyle w:val="NormalWeb"/>
        <w:rPr>
          <w:rFonts w:asciiTheme="minorHAnsi" w:eastAsia="Calibri" w:hAnsiTheme="minorHAnsi" w:cs="Arial"/>
          <w:sz w:val="22"/>
          <w:szCs w:val="22"/>
        </w:rPr>
      </w:pPr>
      <w:r w:rsidRPr="00D2790E">
        <w:rPr>
          <w:rFonts w:asciiTheme="minorHAnsi" w:eastAsia="Calibri" w:hAnsiTheme="minorHAnsi" w:cs="Arial"/>
          <w:sz w:val="22"/>
          <w:szCs w:val="22"/>
        </w:rPr>
        <w:t xml:space="preserve">I would like your approval to attend </w:t>
      </w:r>
      <w:hyperlink r:id="rId8" w:history="1">
        <w:r w:rsidRPr="00B448C4"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>APQC’s Annual Process</w:t>
        </w:r>
        <w:r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 xml:space="preserve"> and Performance Management (PPM)</w:t>
        </w:r>
        <w:r w:rsidRPr="00B448C4">
          <w:rPr>
            <w:rStyle w:val="Hyperlink"/>
            <w:rFonts w:asciiTheme="minorHAnsi" w:eastAsia="Calibri" w:hAnsiTheme="minorHAnsi" w:cs="Arial"/>
            <w:b/>
            <w:sz w:val="22"/>
            <w:szCs w:val="22"/>
          </w:rPr>
          <w:t xml:space="preserve"> Conference</w:t>
        </w:r>
      </w:hyperlink>
      <w:r w:rsidRPr="00D2790E">
        <w:rPr>
          <w:rFonts w:asciiTheme="minorHAnsi" w:eastAsia="Calibri" w:hAnsiTheme="minorHAnsi" w:cs="Arial"/>
          <w:sz w:val="22"/>
          <w:szCs w:val="22"/>
        </w:rPr>
        <w:t xml:space="preserve"> taking place </w:t>
      </w:r>
      <w:r>
        <w:rPr>
          <w:rFonts w:asciiTheme="minorHAnsi" w:eastAsia="Calibri" w:hAnsiTheme="minorHAnsi" w:cs="Arial"/>
          <w:sz w:val="22"/>
          <w:szCs w:val="22"/>
        </w:rPr>
        <w:t>October</w:t>
      </w:r>
      <w:r w:rsidR="00566015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662083">
        <w:rPr>
          <w:rFonts w:asciiTheme="minorHAnsi" w:eastAsia="Calibri" w:hAnsiTheme="minorHAnsi" w:cs="Arial"/>
          <w:sz w:val="22"/>
          <w:szCs w:val="22"/>
        </w:rPr>
        <w:t>3-4</w:t>
      </w:r>
      <w:r>
        <w:rPr>
          <w:rFonts w:asciiTheme="minorHAnsi" w:eastAsia="Calibri" w:hAnsiTheme="minorHAnsi" w:cs="Arial"/>
          <w:sz w:val="22"/>
          <w:szCs w:val="22"/>
        </w:rPr>
        <w:t>, 201</w:t>
      </w:r>
      <w:r w:rsidR="00662083">
        <w:rPr>
          <w:rFonts w:asciiTheme="minorHAnsi" w:eastAsia="Calibri" w:hAnsiTheme="minorHAnsi" w:cs="Arial"/>
          <w:sz w:val="22"/>
          <w:szCs w:val="22"/>
        </w:rPr>
        <w:t>9</w:t>
      </w:r>
      <w:r w:rsidRPr="00D2790E">
        <w:rPr>
          <w:rFonts w:asciiTheme="minorHAnsi" w:eastAsia="Calibri" w:hAnsiTheme="minorHAnsi" w:cs="Arial"/>
          <w:sz w:val="22"/>
          <w:szCs w:val="22"/>
        </w:rPr>
        <w:t xml:space="preserve"> in Houston, TX. APQC is </w:t>
      </w:r>
      <w:r>
        <w:rPr>
          <w:rFonts w:asciiTheme="minorHAnsi" w:eastAsia="Calibri" w:hAnsiTheme="minorHAnsi" w:cs="Arial"/>
          <w:sz w:val="22"/>
          <w:szCs w:val="22"/>
        </w:rPr>
        <w:t xml:space="preserve">the </w:t>
      </w:r>
      <w:r w:rsidR="00C27A5B">
        <w:rPr>
          <w:rFonts w:asciiTheme="minorHAnsi" w:eastAsia="Calibri" w:hAnsiTheme="minorHAnsi" w:cs="Arial"/>
          <w:sz w:val="22"/>
          <w:szCs w:val="22"/>
        </w:rPr>
        <w:t xml:space="preserve">world’s </w:t>
      </w:r>
      <w:r>
        <w:rPr>
          <w:rFonts w:asciiTheme="minorHAnsi" w:eastAsia="Calibri" w:hAnsiTheme="minorHAnsi" w:cs="Arial"/>
          <w:sz w:val="22"/>
          <w:szCs w:val="22"/>
        </w:rPr>
        <w:t xml:space="preserve">foremost authority in benchmarks and best practices in process and performance management. </w:t>
      </w:r>
    </w:p>
    <w:p w14:paraId="3DAFFD1B" w14:textId="1EB96997" w:rsidR="00457D9F" w:rsidRDefault="00457D9F" w:rsidP="00037AE6">
      <w:pPr>
        <w:spacing w:line="240" w:lineRule="auto"/>
      </w:pPr>
      <w:r w:rsidRPr="00994AA2">
        <w:t xml:space="preserve">Their </w:t>
      </w:r>
      <w:r>
        <w:t>PPM Conference</w:t>
      </w:r>
      <w:r w:rsidRPr="00994AA2">
        <w:t xml:space="preserve"> bring</w:t>
      </w:r>
      <w:r>
        <w:t>s</w:t>
      </w:r>
      <w:r w:rsidRPr="00994AA2">
        <w:t xml:space="preserve"> together the best and the brightest minds in </w:t>
      </w:r>
      <w:r>
        <w:t xml:space="preserve">process </w:t>
      </w:r>
      <w:r w:rsidR="00C27A5B">
        <w:t xml:space="preserve">and performance </w:t>
      </w:r>
      <w:r>
        <w:t>management</w:t>
      </w:r>
      <w:r w:rsidRPr="00994AA2">
        <w:t xml:space="preserve">. </w:t>
      </w:r>
      <w:r>
        <w:t>It will incorporate breakout sessions focused on managing change and engagement, analyzing and managing performance, aligning to the business, and managing and improving processes.</w:t>
      </w:r>
      <w:r w:rsidR="00037AE6">
        <w:t xml:space="preserve"> </w:t>
      </w:r>
      <w:r w:rsidR="00C24F61" w:rsidRPr="00C24F61">
        <w:t xml:space="preserve">APQC </w:t>
      </w:r>
      <w:r w:rsidR="00C24F61">
        <w:t>also has</w:t>
      </w:r>
      <w:r w:rsidR="00C24F61" w:rsidRPr="00C24F61">
        <w:t xml:space="preserve"> a track </w:t>
      </w:r>
      <w:r w:rsidR="00C24F61">
        <w:t>dedicated to</w:t>
      </w:r>
      <w:r w:rsidR="00C24F61" w:rsidRPr="00C24F61">
        <w:t xml:space="preserve"> education leaders which compliments their North Star membership initiative.</w:t>
      </w:r>
    </w:p>
    <w:p w14:paraId="238DD0F9" w14:textId="4D9D06A6" w:rsidR="00FD2F1F" w:rsidRPr="00D2790E" w:rsidRDefault="00FD2F1F" w:rsidP="00FD2F1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Throughout the </w:t>
      </w:r>
      <w:r w:rsidRPr="009F269E">
        <w:rPr>
          <w:rFonts w:asciiTheme="minorHAnsi" w:hAnsiTheme="minorHAnsi" w:cs="Arial"/>
        </w:rPr>
        <w:t>25 breakout sessions</w:t>
      </w:r>
      <w:r>
        <w:rPr>
          <w:rFonts w:asciiTheme="minorHAnsi" w:hAnsiTheme="minorHAnsi" w:cs="Arial"/>
        </w:rPr>
        <w:t xml:space="preserve">, </w:t>
      </w:r>
      <w:r w:rsidR="001140B8">
        <w:rPr>
          <w:rFonts w:asciiTheme="minorHAnsi" w:hAnsiTheme="minorHAnsi" w:cs="Arial"/>
        </w:rPr>
        <w:t>2+</w:t>
      </w:r>
      <w:r w:rsidR="001140B8" w:rsidRPr="009F269E">
        <w:rPr>
          <w:rFonts w:asciiTheme="minorHAnsi" w:hAnsiTheme="minorHAnsi" w:cs="Arial"/>
        </w:rPr>
        <w:t xml:space="preserve"> </w:t>
      </w:r>
      <w:r w:rsidRPr="009F269E">
        <w:rPr>
          <w:rFonts w:asciiTheme="minorHAnsi" w:hAnsiTheme="minorHAnsi" w:cs="Arial"/>
        </w:rPr>
        <w:t>keynotes</w:t>
      </w:r>
      <w:r>
        <w:rPr>
          <w:rFonts w:asciiTheme="minorHAnsi" w:hAnsiTheme="minorHAnsi" w:cs="Arial"/>
        </w:rPr>
        <w:t xml:space="preserve">, and </w:t>
      </w:r>
      <w:r w:rsidRPr="009F269E">
        <w:rPr>
          <w:rFonts w:asciiTheme="minorHAnsi" w:hAnsiTheme="minorHAnsi" w:cs="Arial"/>
        </w:rPr>
        <w:t>2 Accelerated Knowledge Sessions</w:t>
      </w:r>
      <w:r>
        <w:rPr>
          <w:rFonts w:asciiTheme="minorHAnsi" w:hAnsiTheme="minorHAnsi" w:cs="Arial"/>
        </w:rPr>
        <w:t>, s</w:t>
      </w:r>
      <w:r w:rsidRPr="00D2790E">
        <w:rPr>
          <w:rFonts w:asciiTheme="minorHAnsi" w:hAnsiTheme="minorHAnsi" w:cs="Arial"/>
        </w:rPr>
        <w:t xml:space="preserve">peakers will be citing specific examples of success and lessons learned which are directly applicable to my work and will help me to address issues we are dealing with currently. </w:t>
      </w:r>
      <w:r>
        <w:rPr>
          <w:rFonts w:asciiTheme="minorHAnsi" w:hAnsiTheme="minorHAnsi" w:cs="Arial"/>
        </w:rPr>
        <w:t xml:space="preserve">I have reviewed the agenda and feel that the return on the investment would be a benefit to our organization as the event aligns directly to the priorities of our department: </w:t>
      </w:r>
      <w:r w:rsidRPr="00662083">
        <w:rPr>
          <w:rFonts w:asciiTheme="minorHAnsi" w:hAnsiTheme="minorHAnsi" w:cs="Arial"/>
          <w:b/>
        </w:rPr>
        <w:t>[insert priorities here]</w:t>
      </w:r>
    </w:p>
    <w:p w14:paraId="1296A3F8" w14:textId="0F1408AD" w:rsidR="00037AE6" w:rsidRDefault="00566015" w:rsidP="00457D9F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Past PPM</w:t>
      </w:r>
      <w:r w:rsidR="00037AE6" w:rsidRPr="00037AE6">
        <w:rPr>
          <w:rFonts w:asciiTheme="minorHAnsi" w:hAnsiTheme="minorHAnsi" w:cs="Arial"/>
        </w:rPr>
        <w:t xml:space="preserve"> conference</w:t>
      </w:r>
      <w:r>
        <w:rPr>
          <w:rFonts w:asciiTheme="minorHAnsi" w:hAnsiTheme="minorHAnsi" w:cs="Arial"/>
        </w:rPr>
        <w:t>s</w:t>
      </w:r>
      <w:r w:rsidR="00037AE6" w:rsidRPr="00037AE6">
        <w:rPr>
          <w:rFonts w:asciiTheme="minorHAnsi" w:hAnsiTheme="minorHAnsi" w:cs="Arial"/>
        </w:rPr>
        <w:t xml:space="preserve"> </w:t>
      </w:r>
      <w:r w:rsidR="00037AE6">
        <w:rPr>
          <w:rFonts w:asciiTheme="minorHAnsi" w:hAnsiTheme="minorHAnsi" w:cs="Arial"/>
        </w:rPr>
        <w:t>ha</w:t>
      </w:r>
      <w:r w:rsidR="008E6305">
        <w:rPr>
          <w:rFonts w:asciiTheme="minorHAnsi" w:hAnsiTheme="minorHAnsi" w:cs="Arial"/>
        </w:rPr>
        <w:t xml:space="preserve">ve </w:t>
      </w:r>
      <w:r w:rsidR="00433263">
        <w:rPr>
          <w:rFonts w:asciiTheme="minorHAnsi" w:hAnsiTheme="minorHAnsi" w:cs="Arial"/>
        </w:rPr>
        <w:t xml:space="preserve">had </w:t>
      </w:r>
      <w:r w:rsidR="001140B8">
        <w:rPr>
          <w:rFonts w:asciiTheme="minorHAnsi" w:hAnsiTheme="minorHAnsi" w:cs="Arial"/>
        </w:rPr>
        <w:t>200</w:t>
      </w:r>
      <w:r w:rsidR="008E6305">
        <w:rPr>
          <w:rFonts w:asciiTheme="minorHAnsi" w:hAnsiTheme="minorHAnsi" w:cs="Arial"/>
        </w:rPr>
        <w:t>+</w:t>
      </w:r>
      <w:r w:rsidR="00037AE6">
        <w:rPr>
          <w:rFonts w:asciiTheme="minorHAnsi" w:hAnsiTheme="minorHAnsi" w:cs="Arial"/>
        </w:rPr>
        <w:t xml:space="preserve"> participants</w:t>
      </w:r>
      <w:r w:rsidR="00037AE6" w:rsidRPr="00037AE6">
        <w:rPr>
          <w:rFonts w:asciiTheme="minorHAnsi" w:hAnsiTheme="minorHAnsi" w:cs="Arial"/>
        </w:rPr>
        <w:t xml:space="preserve"> and speakers from </w:t>
      </w:r>
      <w:r w:rsidR="001140B8">
        <w:rPr>
          <w:rFonts w:asciiTheme="minorHAnsi" w:hAnsiTheme="minorHAnsi" w:cs="Arial"/>
        </w:rPr>
        <w:t>22</w:t>
      </w:r>
      <w:r w:rsidR="001140B8" w:rsidRPr="00037AE6">
        <w:rPr>
          <w:rFonts w:asciiTheme="minorHAnsi" w:hAnsiTheme="minorHAnsi" w:cs="Arial"/>
        </w:rPr>
        <w:t xml:space="preserve"> </w:t>
      </w:r>
      <w:r w:rsidR="00037AE6" w:rsidRPr="00037AE6">
        <w:rPr>
          <w:rFonts w:asciiTheme="minorHAnsi" w:hAnsiTheme="minorHAnsi" w:cs="Arial"/>
        </w:rPr>
        <w:t>countries</w:t>
      </w:r>
      <w:r w:rsidR="00EF69C0">
        <w:rPr>
          <w:rFonts w:asciiTheme="minorHAnsi" w:hAnsiTheme="minorHAnsi" w:cs="Arial"/>
        </w:rPr>
        <w:t xml:space="preserve"> and </w:t>
      </w:r>
      <w:r w:rsidR="001140B8">
        <w:rPr>
          <w:rFonts w:asciiTheme="minorHAnsi" w:hAnsiTheme="minorHAnsi" w:cs="Arial"/>
        </w:rPr>
        <w:t xml:space="preserve">38 </w:t>
      </w:r>
      <w:r w:rsidR="00EF69C0">
        <w:rPr>
          <w:rFonts w:asciiTheme="minorHAnsi" w:hAnsiTheme="minorHAnsi" w:cs="Arial"/>
        </w:rPr>
        <w:t>different industries varying in process experience from 1-10+ years</w:t>
      </w:r>
      <w:r w:rsidR="00037AE6" w:rsidRPr="00037AE6">
        <w:rPr>
          <w:rFonts w:asciiTheme="minorHAnsi" w:hAnsiTheme="minorHAnsi" w:cs="Arial"/>
        </w:rPr>
        <w:t>. I will have the opportunity to</w:t>
      </w:r>
      <w:r w:rsidR="00037AE6">
        <w:rPr>
          <w:rFonts w:asciiTheme="minorHAnsi" w:hAnsiTheme="minorHAnsi" w:cs="Arial"/>
        </w:rPr>
        <w:t xml:space="preserve"> make meaningful connections and </w:t>
      </w:r>
      <w:r w:rsidR="00037AE6" w:rsidRPr="00037AE6">
        <w:rPr>
          <w:rFonts w:asciiTheme="minorHAnsi" w:hAnsiTheme="minorHAnsi" w:cs="Arial"/>
        </w:rPr>
        <w:t xml:space="preserve">network with my peers from </w:t>
      </w:r>
      <w:r w:rsidR="00037AE6">
        <w:rPr>
          <w:rFonts w:asciiTheme="minorHAnsi" w:hAnsiTheme="minorHAnsi" w:cs="Arial"/>
        </w:rPr>
        <w:t>around the world</w:t>
      </w:r>
      <w:r w:rsidR="00037AE6" w:rsidRPr="00037AE6">
        <w:rPr>
          <w:rFonts w:asciiTheme="minorHAnsi" w:hAnsiTheme="minorHAnsi" w:cs="Arial"/>
        </w:rPr>
        <w:t xml:space="preserve"> </w:t>
      </w:r>
      <w:proofErr w:type="gramStart"/>
      <w:r w:rsidR="00037AE6" w:rsidRPr="00037AE6">
        <w:rPr>
          <w:rFonts w:asciiTheme="minorHAnsi" w:hAnsiTheme="minorHAnsi" w:cs="Arial"/>
        </w:rPr>
        <w:t>in order to</w:t>
      </w:r>
      <w:proofErr w:type="gramEnd"/>
      <w:r w:rsidR="00037AE6" w:rsidRPr="00037AE6">
        <w:rPr>
          <w:rFonts w:asciiTheme="minorHAnsi" w:hAnsiTheme="minorHAnsi" w:cs="Arial"/>
        </w:rPr>
        <w:t xml:space="preserve"> exchange ideas, bes</w:t>
      </w:r>
      <w:r w:rsidR="00C27A5B">
        <w:rPr>
          <w:rFonts w:asciiTheme="minorHAnsi" w:hAnsiTheme="minorHAnsi" w:cs="Arial"/>
        </w:rPr>
        <w:t>t practices and lessons learned.</w:t>
      </w:r>
    </w:p>
    <w:p w14:paraId="4A9C46C9" w14:textId="259AA6F7" w:rsidR="00457D9F" w:rsidRDefault="00457D9F" w:rsidP="00457D9F">
      <w:pPr>
        <w:spacing w:line="240" w:lineRule="auto"/>
        <w:rPr>
          <w:rFonts w:asciiTheme="minorHAnsi" w:hAnsiTheme="minorHAnsi" w:cs="Arial"/>
        </w:rPr>
      </w:pPr>
      <w:r w:rsidRPr="00D2790E">
        <w:rPr>
          <w:rFonts w:asciiTheme="minorHAnsi" w:hAnsiTheme="minorHAnsi" w:cs="Arial"/>
        </w:rPr>
        <w:t>Prior to the conference, APQC will also host workshops (</w:t>
      </w:r>
      <w:r w:rsidR="00662083">
        <w:rPr>
          <w:rFonts w:asciiTheme="minorHAnsi" w:hAnsiTheme="minorHAnsi" w:cs="Arial"/>
        </w:rPr>
        <w:t>September 30-October 2</w:t>
      </w:r>
      <w:r w:rsidRPr="00D2790E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covering the latest in </w:t>
      </w:r>
      <w:r w:rsidR="00662083">
        <w:rPr>
          <w:rFonts w:asciiTheme="minorHAnsi" w:hAnsiTheme="minorHAnsi" w:cs="Arial"/>
        </w:rPr>
        <w:t>business process management</w:t>
      </w:r>
      <w:r>
        <w:rPr>
          <w:rFonts w:asciiTheme="minorHAnsi" w:hAnsiTheme="minorHAnsi" w:cs="Arial"/>
        </w:rPr>
        <w:t xml:space="preserve"> and related concepts </w:t>
      </w:r>
      <w:r w:rsidRPr="00D2790E">
        <w:rPr>
          <w:rFonts w:asciiTheme="minorHAnsi" w:hAnsiTheme="minorHAnsi" w:cs="Arial"/>
        </w:rPr>
        <w:t xml:space="preserve">to help </w:t>
      </w:r>
      <w:r>
        <w:rPr>
          <w:rFonts w:asciiTheme="minorHAnsi" w:hAnsiTheme="minorHAnsi" w:cs="Arial"/>
        </w:rPr>
        <w:t>grow</w:t>
      </w:r>
      <w:r w:rsidRPr="00D2790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my capabilities. These workshops will offer me hands-on help </w:t>
      </w:r>
      <w:r w:rsidRPr="005070E4">
        <w:rPr>
          <w:rFonts w:asciiTheme="minorHAnsi" w:hAnsiTheme="minorHAnsi" w:cs="Arial"/>
        </w:rPr>
        <w:t>apply</w:t>
      </w:r>
      <w:r>
        <w:rPr>
          <w:rFonts w:asciiTheme="minorHAnsi" w:hAnsiTheme="minorHAnsi" w:cs="Arial"/>
        </w:rPr>
        <w:t>ing</w:t>
      </w:r>
      <w:r w:rsidRPr="005070E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their</w:t>
      </w:r>
      <w:r w:rsidRPr="005070E4">
        <w:rPr>
          <w:rFonts w:asciiTheme="minorHAnsi" w:hAnsiTheme="minorHAnsi" w:cs="Arial"/>
        </w:rPr>
        <w:t xml:space="preserve"> extensive research and best practices to the work </w:t>
      </w:r>
      <w:r>
        <w:rPr>
          <w:rFonts w:asciiTheme="minorHAnsi" w:hAnsiTheme="minorHAnsi" w:cs="Arial"/>
        </w:rPr>
        <w:t>I</w:t>
      </w:r>
      <w:r w:rsidRPr="005070E4">
        <w:rPr>
          <w:rFonts w:asciiTheme="minorHAnsi" w:hAnsiTheme="minorHAnsi" w:cs="Arial"/>
        </w:rPr>
        <w:t xml:space="preserve"> do each day.</w:t>
      </w:r>
      <w:r>
        <w:rPr>
          <w:rFonts w:asciiTheme="minorHAnsi" w:hAnsiTheme="minorHAnsi" w:cs="Arial"/>
        </w:rPr>
        <w:t xml:space="preserve"> </w:t>
      </w:r>
      <w:r w:rsidR="00662083" w:rsidRPr="00662083">
        <w:rPr>
          <w:rFonts w:asciiTheme="minorHAnsi" w:hAnsiTheme="minorHAnsi" w:cs="Arial"/>
          <w:b/>
        </w:rPr>
        <w:t>[remove this paragraph if you don’t plan to attend workshops]</w:t>
      </w:r>
    </w:p>
    <w:p w14:paraId="68545B3E" w14:textId="39040907" w:rsidR="00037AE6" w:rsidRP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>I can arrange for others to cover my responsibilities during the days I am attending the conference. Additionally, if we decide to send a team to the event, we can save</w:t>
      </w:r>
      <w:r w:rsidR="00662083">
        <w:rPr>
          <w:rFonts w:asciiTheme="minorHAnsi" w:hAnsiTheme="minorHAnsi" w:cs="Arial"/>
        </w:rPr>
        <w:t xml:space="preserve"> on conference registration</w:t>
      </w:r>
      <w:r w:rsidRPr="00037AE6">
        <w:rPr>
          <w:rFonts w:asciiTheme="minorHAnsi" w:hAnsiTheme="minorHAnsi" w:cs="Arial"/>
        </w:rPr>
        <w:t xml:space="preserve"> by taking advantage of group rates (savings starting at $</w:t>
      </w:r>
      <w:r>
        <w:rPr>
          <w:rFonts w:asciiTheme="minorHAnsi" w:hAnsiTheme="minorHAnsi" w:cs="Arial"/>
        </w:rPr>
        <w:t>1</w:t>
      </w:r>
      <w:r w:rsidRPr="00037AE6">
        <w:rPr>
          <w:rFonts w:asciiTheme="minorHAnsi" w:hAnsiTheme="minorHAnsi" w:cs="Arial"/>
        </w:rPr>
        <w:t>00 per person).</w:t>
      </w:r>
    </w:p>
    <w:p w14:paraId="073D4BA5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</w:p>
    <w:p w14:paraId="558B9E8E" w14:textId="368F262A" w:rsidR="00037AE6" w:rsidRP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 xml:space="preserve">I am seeking approval for the registration fee and travel expenditures. </w:t>
      </w:r>
      <w:r w:rsidR="002D337C" w:rsidRPr="002D337C">
        <w:rPr>
          <w:rFonts w:asciiTheme="minorHAnsi" w:hAnsiTheme="minorHAnsi" w:cs="Arial"/>
        </w:rPr>
        <w:t>They offer a $200 government discount for education professionals, which brings the conference pass to $1195 for APQC members and $1395 for non-members and, it can be reduced by an additional $200 by registering with payment by the August 2</w:t>
      </w:r>
      <w:r w:rsidR="002D337C">
        <w:rPr>
          <w:rFonts w:asciiTheme="minorHAnsi" w:hAnsiTheme="minorHAnsi" w:cs="Arial"/>
        </w:rPr>
        <w:t>3</w:t>
      </w:r>
      <w:r w:rsidR="002D337C" w:rsidRPr="002D337C">
        <w:rPr>
          <w:rFonts w:asciiTheme="minorHAnsi" w:hAnsiTheme="minorHAnsi" w:cs="Arial"/>
        </w:rPr>
        <w:t xml:space="preserve"> early bird deadline</w:t>
      </w:r>
      <w:r w:rsidR="00D91FB0">
        <w:rPr>
          <w:rFonts w:asciiTheme="minorHAnsi" w:hAnsiTheme="minorHAnsi" w:cs="Arial"/>
        </w:rPr>
        <w:t>.</w:t>
      </w:r>
      <w:bookmarkStart w:id="0" w:name="_GoBack"/>
      <w:bookmarkEnd w:id="0"/>
    </w:p>
    <w:p w14:paraId="684E8E77" w14:textId="77777777" w:rsidR="00037AE6" w:rsidRPr="00037AE6" w:rsidRDefault="00037AE6" w:rsidP="00037AE6">
      <w:pPr>
        <w:spacing w:after="0" w:line="240" w:lineRule="auto"/>
        <w:rPr>
          <w:rFonts w:asciiTheme="minorHAnsi" w:hAnsiTheme="minorHAnsi" w:cs="Arial"/>
        </w:rPr>
      </w:pPr>
    </w:p>
    <w:p w14:paraId="28BC661D" w14:textId="77777777" w:rsidR="00037AE6" w:rsidRP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>Here is a</w:t>
      </w:r>
      <w:r w:rsidR="008B649E">
        <w:rPr>
          <w:rFonts w:asciiTheme="minorHAnsi" w:hAnsiTheme="minorHAnsi" w:cs="Arial"/>
        </w:rPr>
        <w:t>n estimate</w:t>
      </w:r>
      <w:r w:rsidRPr="00037AE6">
        <w:rPr>
          <w:rFonts w:asciiTheme="minorHAnsi" w:hAnsiTheme="minorHAnsi" w:cs="Arial"/>
        </w:rPr>
        <w:t xml:space="preserve"> of costs</w:t>
      </w:r>
      <w:r w:rsidR="008B649E">
        <w:rPr>
          <w:rFonts w:asciiTheme="minorHAnsi" w:hAnsiTheme="minorHAnsi" w:cs="Arial"/>
        </w:rPr>
        <w:t xml:space="preserve"> for me to attend the </w:t>
      </w:r>
      <w:r w:rsidR="008B649E" w:rsidRPr="00037AE6">
        <w:rPr>
          <w:rFonts w:asciiTheme="minorHAnsi" w:hAnsiTheme="minorHAnsi" w:cs="Arial"/>
        </w:rPr>
        <w:t>conference</w:t>
      </w:r>
      <w:r w:rsidRPr="00037AE6">
        <w:rPr>
          <w:rFonts w:asciiTheme="minorHAnsi" w:hAnsiTheme="minorHAnsi" w:cs="Arial"/>
        </w:rPr>
        <w:t>:</w:t>
      </w:r>
    </w:p>
    <w:p w14:paraId="5EA63C2D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Airfare:   </w:t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2A5F7BCA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Transportation: </w:t>
      </w:r>
      <w:r w:rsidR="00EF69C0" w:rsidRPr="00EF69C0">
        <w:rPr>
          <w:rFonts w:asciiTheme="minorHAnsi" w:hAnsiTheme="minorHAnsi" w:cs="Arial"/>
        </w:rPr>
        <w:tab/>
      </w:r>
      <w:r w:rsid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2C1CCE60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Hotel: </w:t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6825F21E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>Meals:</w:t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="00EF69C0" w:rsidRP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 xml:space="preserve">$________   </w:t>
      </w:r>
      <w:proofErr w:type="gramStart"/>
      <w:r w:rsidRPr="00EF69C0">
        <w:rPr>
          <w:rFonts w:asciiTheme="minorHAnsi" w:hAnsiTheme="minorHAnsi" w:cs="Arial"/>
        </w:rPr>
        <w:t xml:space="preserve">   (</w:t>
      </w:r>
      <w:proofErr w:type="gramEnd"/>
      <w:r w:rsidRPr="00EF69C0">
        <w:rPr>
          <w:rFonts w:asciiTheme="minorHAnsi" w:hAnsiTheme="minorHAnsi" w:cs="Arial"/>
        </w:rPr>
        <w:t>breakfast, lunch, and networking receptions included</w:t>
      </w:r>
      <w:r w:rsidR="00EF69C0" w:rsidRPr="00EF69C0">
        <w:rPr>
          <w:rFonts w:asciiTheme="minorHAnsi" w:hAnsiTheme="minorHAnsi" w:cs="Arial"/>
        </w:rPr>
        <w:t>)</w:t>
      </w:r>
    </w:p>
    <w:p w14:paraId="12C6606A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</w:rPr>
      </w:pPr>
      <w:r w:rsidRPr="00EF69C0">
        <w:rPr>
          <w:rFonts w:asciiTheme="minorHAnsi" w:hAnsiTheme="minorHAnsi" w:cs="Arial"/>
        </w:rPr>
        <w:t xml:space="preserve">Conference Fee: </w:t>
      </w:r>
      <w:r w:rsidR="00EF69C0" w:rsidRPr="00EF69C0">
        <w:rPr>
          <w:rFonts w:asciiTheme="minorHAnsi" w:hAnsiTheme="minorHAnsi" w:cs="Arial"/>
        </w:rPr>
        <w:tab/>
      </w:r>
      <w:r w:rsidR="00EF69C0">
        <w:rPr>
          <w:rFonts w:asciiTheme="minorHAnsi" w:hAnsiTheme="minorHAnsi" w:cs="Arial"/>
        </w:rPr>
        <w:tab/>
      </w:r>
      <w:r w:rsidRPr="00EF69C0">
        <w:rPr>
          <w:rFonts w:asciiTheme="minorHAnsi" w:hAnsiTheme="minorHAnsi" w:cs="Arial"/>
        </w:rPr>
        <w:t>$________</w:t>
      </w:r>
    </w:p>
    <w:p w14:paraId="5F6D6B1E" w14:textId="77777777" w:rsidR="00037AE6" w:rsidRPr="00EF69C0" w:rsidRDefault="00037AE6" w:rsidP="00EF69C0">
      <w:pPr>
        <w:spacing w:after="0" w:line="240" w:lineRule="auto"/>
        <w:ind w:left="360"/>
        <w:rPr>
          <w:rFonts w:asciiTheme="minorHAnsi" w:hAnsiTheme="minorHAnsi" w:cs="Arial"/>
          <w:b/>
        </w:rPr>
      </w:pPr>
      <w:r w:rsidRPr="00EF69C0">
        <w:rPr>
          <w:rFonts w:asciiTheme="minorHAnsi" w:hAnsiTheme="minorHAnsi" w:cs="Arial"/>
          <w:b/>
        </w:rPr>
        <w:t>TOTAL:</w:t>
      </w:r>
      <w:r w:rsidR="00EF69C0" w:rsidRPr="00EF69C0">
        <w:rPr>
          <w:rFonts w:asciiTheme="minorHAnsi" w:hAnsiTheme="minorHAnsi" w:cs="Arial"/>
          <w:b/>
        </w:rPr>
        <w:tab/>
      </w:r>
      <w:r w:rsidR="00EF69C0" w:rsidRPr="00EF69C0">
        <w:rPr>
          <w:rFonts w:asciiTheme="minorHAnsi" w:hAnsiTheme="minorHAnsi" w:cs="Arial"/>
          <w:b/>
        </w:rPr>
        <w:tab/>
      </w:r>
      <w:r w:rsidR="00EF69C0" w:rsidRPr="00EF69C0">
        <w:rPr>
          <w:rFonts w:asciiTheme="minorHAnsi" w:hAnsiTheme="minorHAnsi" w:cs="Arial"/>
          <w:b/>
        </w:rPr>
        <w:tab/>
      </w:r>
      <w:r w:rsidRPr="00EF69C0">
        <w:rPr>
          <w:rFonts w:asciiTheme="minorHAnsi" w:hAnsiTheme="minorHAnsi" w:cs="Arial"/>
          <w:b/>
        </w:rPr>
        <w:t>$________</w:t>
      </w:r>
    </w:p>
    <w:p w14:paraId="03B348FA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</w:p>
    <w:p w14:paraId="10034197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 w:rsidRPr="00037AE6">
        <w:rPr>
          <w:rFonts w:asciiTheme="minorHAnsi" w:hAnsiTheme="minorHAnsi" w:cs="Arial"/>
        </w:rPr>
        <w:t>Please accept this proposal to attend as I’m confident in the significant return we will receive for the investment.</w:t>
      </w:r>
    </w:p>
    <w:p w14:paraId="67F7FC1E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</w:p>
    <w:p w14:paraId="2F9008EE" w14:textId="77777777" w:rsidR="00037AE6" w:rsidRDefault="00037AE6" w:rsidP="00037AE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Thank you for your consideration,</w:t>
      </w:r>
    </w:p>
    <w:p w14:paraId="43B359DE" w14:textId="77777777" w:rsidR="00D2790E" w:rsidRDefault="00037AE6" w:rsidP="00EF69C0">
      <w:pPr>
        <w:spacing w:after="0" w:line="240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lastRenderedPageBreak/>
        <w:t>xxxxxxxxxxxx</w:t>
      </w:r>
      <w:proofErr w:type="spellEnd"/>
    </w:p>
    <w:sectPr w:rsidR="00D2790E" w:rsidSect="0075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FFFFFF1D"/>
    <w:multiLevelType w:val="multilevel"/>
    <w:tmpl w:val="54DE1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73130"/>
    <w:multiLevelType w:val="hybridMultilevel"/>
    <w:tmpl w:val="AF6A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26FFC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2786"/>
    <w:multiLevelType w:val="hybridMultilevel"/>
    <w:tmpl w:val="EBE44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56FEA"/>
    <w:multiLevelType w:val="hybridMultilevel"/>
    <w:tmpl w:val="25FA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CB62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3987"/>
    <w:multiLevelType w:val="hybridMultilevel"/>
    <w:tmpl w:val="39F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4C4F"/>
    <w:multiLevelType w:val="multilevel"/>
    <w:tmpl w:val="58DE9F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91D"/>
    <w:multiLevelType w:val="multilevel"/>
    <w:tmpl w:val="730AD8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52CA8"/>
    <w:multiLevelType w:val="multilevel"/>
    <w:tmpl w:val="AD9A7F5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D246B"/>
    <w:multiLevelType w:val="hybridMultilevel"/>
    <w:tmpl w:val="CA4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F1"/>
    <w:rsid w:val="00012CA4"/>
    <w:rsid w:val="00037AE6"/>
    <w:rsid w:val="000508D9"/>
    <w:rsid w:val="00053E62"/>
    <w:rsid w:val="00060384"/>
    <w:rsid w:val="00073D35"/>
    <w:rsid w:val="000908C4"/>
    <w:rsid w:val="00104DFE"/>
    <w:rsid w:val="001140B8"/>
    <w:rsid w:val="00164A14"/>
    <w:rsid w:val="001D25A5"/>
    <w:rsid w:val="001D51EB"/>
    <w:rsid w:val="00212588"/>
    <w:rsid w:val="00244DDA"/>
    <w:rsid w:val="002D337C"/>
    <w:rsid w:val="00302656"/>
    <w:rsid w:val="0031788B"/>
    <w:rsid w:val="00347D2A"/>
    <w:rsid w:val="00353852"/>
    <w:rsid w:val="003956FC"/>
    <w:rsid w:val="003A6274"/>
    <w:rsid w:val="003C0CD2"/>
    <w:rsid w:val="003C5151"/>
    <w:rsid w:val="003C73E7"/>
    <w:rsid w:val="00417CB5"/>
    <w:rsid w:val="004308D7"/>
    <w:rsid w:val="00433263"/>
    <w:rsid w:val="00457D9F"/>
    <w:rsid w:val="004605F1"/>
    <w:rsid w:val="00491A06"/>
    <w:rsid w:val="004D4F03"/>
    <w:rsid w:val="004E7C97"/>
    <w:rsid w:val="005070E4"/>
    <w:rsid w:val="0051798E"/>
    <w:rsid w:val="00521C54"/>
    <w:rsid w:val="00532C6A"/>
    <w:rsid w:val="0054707A"/>
    <w:rsid w:val="005635DB"/>
    <w:rsid w:val="00566015"/>
    <w:rsid w:val="005A49B5"/>
    <w:rsid w:val="005E659E"/>
    <w:rsid w:val="0063520F"/>
    <w:rsid w:val="00662083"/>
    <w:rsid w:val="0066400D"/>
    <w:rsid w:val="0067271C"/>
    <w:rsid w:val="006C0CDB"/>
    <w:rsid w:val="006F6EA0"/>
    <w:rsid w:val="0074065E"/>
    <w:rsid w:val="0075057F"/>
    <w:rsid w:val="0079447D"/>
    <w:rsid w:val="007E635F"/>
    <w:rsid w:val="008158BF"/>
    <w:rsid w:val="00836881"/>
    <w:rsid w:val="008567D1"/>
    <w:rsid w:val="00863FE8"/>
    <w:rsid w:val="00882E32"/>
    <w:rsid w:val="008A4E6E"/>
    <w:rsid w:val="008B649E"/>
    <w:rsid w:val="008E6305"/>
    <w:rsid w:val="00942B45"/>
    <w:rsid w:val="00945191"/>
    <w:rsid w:val="009564DF"/>
    <w:rsid w:val="00994AA2"/>
    <w:rsid w:val="009E0DA1"/>
    <w:rsid w:val="009F269E"/>
    <w:rsid w:val="00A254A0"/>
    <w:rsid w:val="00A557F7"/>
    <w:rsid w:val="00AA68E9"/>
    <w:rsid w:val="00AE483B"/>
    <w:rsid w:val="00B448C4"/>
    <w:rsid w:val="00B73C22"/>
    <w:rsid w:val="00B94AE1"/>
    <w:rsid w:val="00C22462"/>
    <w:rsid w:val="00C24F61"/>
    <w:rsid w:val="00C27A5B"/>
    <w:rsid w:val="00C6741E"/>
    <w:rsid w:val="00CA5F2D"/>
    <w:rsid w:val="00CE733A"/>
    <w:rsid w:val="00CF4288"/>
    <w:rsid w:val="00D2790E"/>
    <w:rsid w:val="00D91FB0"/>
    <w:rsid w:val="00E42318"/>
    <w:rsid w:val="00E56BAA"/>
    <w:rsid w:val="00E85BE6"/>
    <w:rsid w:val="00EA2BBF"/>
    <w:rsid w:val="00EF69C0"/>
    <w:rsid w:val="00F86E8D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6C6F3A"/>
  <w15:docId w15:val="{833013B5-5240-4661-8413-A2937705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0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520F"/>
  </w:style>
  <w:style w:type="character" w:styleId="Hyperlink">
    <w:name w:val="Hyperlink"/>
    <w:basedOn w:val="DefaultParagraphFont"/>
    <w:uiPriority w:val="99"/>
    <w:unhideWhenUsed/>
    <w:rsid w:val="00B94AE1"/>
    <w:rPr>
      <w:color w:val="015CA4"/>
      <w:u w:val="single"/>
    </w:rPr>
  </w:style>
  <w:style w:type="character" w:styleId="Strong">
    <w:name w:val="Strong"/>
    <w:basedOn w:val="DefaultParagraphFont"/>
    <w:uiPriority w:val="22"/>
    <w:qFormat/>
    <w:rsid w:val="00B94AE1"/>
    <w:rPr>
      <w:b/>
      <w:bCs/>
      <w:color w:val="212121"/>
    </w:rPr>
  </w:style>
  <w:style w:type="paragraph" w:styleId="NormalWeb">
    <w:name w:val="Normal (Web)"/>
    <w:basedOn w:val="Normal"/>
    <w:uiPriority w:val="99"/>
    <w:semiHidden/>
    <w:unhideWhenUsed/>
    <w:rsid w:val="00B9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73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20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qc.org/2019-process-performance-management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0E16A94E684FAABE943A6D4D2996" ma:contentTypeVersion="4" ma:contentTypeDescription="Create a new document." ma:contentTypeScope="" ma:versionID="2640bb145d828a7ea11a446b5e0079c1">
  <xsd:schema xmlns:xsd="http://www.w3.org/2001/XMLSchema" xmlns:xs="http://www.w3.org/2001/XMLSchema" xmlns:p="http://schemas.microsoft.com/office/2006/metadata/properties" xmlns:ns2="4bd87bd1-2613-46f1-905e-dc169fc0c76a" targetNamespace="http://schemas.microsoft.com/office/2006/metadata/properties" ma:root="true" ma:fieldsID="f1190f396e35696d9adc912e0aaace42" ns2:_="">
    <xsd:import namespace="4bd87bd1-2613-46f1-905e-dc169fc0c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87bd1-2613-46f1-905e-dc169fc0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5D179-89D5-43A5-9D1C-AE855B9B5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47A47-6A6F-4CB3-AA8C-CBA51D66C8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d87bd1-2613-46f1-905e-dc169fc0c7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97252-0458-4C19-9B73-2B5013EC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87bd1-2613-46f1-905e-dc169fc0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&lt;Insert Manager’s Name&gt;,</vt:lpstr>
    </vt:vector>
  </TitlesOfParts>
  <Company>Toshiba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&lt;Insert Manager’s Name&gt;,</dc:title>
  <dc:creator>jwp</dc:creator>
  <cp:lastModifiedBy>Lundquist, Maddy</cp:lastModifiedBy>
  <cp:revision>3</cp:revision>
  <dcterms:created xsi:type="dcterms:W3CDTF">2019-03-08T13:55:00Z</dcterms:created>
  <dcterms:modified xsi:type="dcterms:W3CDTF">2019-03-08T13:55:00Z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0x0101001FFE0E16A94E684FAABE943A6D4D2996</vt:lpwstr>
  </property>
</Properties>
</file>